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E" w:rsidRPr="00EE30ED" w:rsidRDefault="0081044E" w:rsidP="00276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ОТЧЕТ</w:t>
      </w:r>
    </w:p>
    <w:p w:rsidR="0081044E" w:rsidRPr="00EE30ED" w:rsidRDefault="0081044E" w:rsidP="00276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 xml:space="preserve">Главы Савинского сельского поселения </w:t>
      </w:r>
    </w:p>
    <w:p w:rsidR="0081044E" w:rsidRPr="00EE30ED" w:rsidRDefault="0081044E" w:rsidP="00276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Новгородского муниципального района о результатах своей деятельности и результатах деятельности Администрации Савинского сельского поселения за 2020 год</w:t>
      </w:r>
    </w:p>
    <w:p w:rsidR="0081044E" w:rsidRPr="00EE30ED" w:rsidRDefault="0081044E" w:rsidP="00276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44E" w:rsidRPr="00EE30ED" w:rsidRDefault="0081044E" w:rsidP="00276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44E" w:rsidRPr="00EE30ED" w:rsidRDefault="0081044E" w:rsidP="00FC20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Уважаемые жители </w:t>
      </w:r>
      <w:r w:rsidRPr="00EE30ED">
        <w:rPr>
          <w:rFonts w:ascii="Times New Roman" w:hAnsi="Times New Roman"/>
          <w:bCs/>
          <w:sz w:val="28"/>
          <w:szCs w:val="28"/>
        </w:rPr>
        <w:t>Савинского</w:t>
      </w:r>
      <w:r w:rsidRPr="00EE30ED">
        <w:rPr>
          <w:rFonts w:ascii="Times New Roman" w:hAnsi="Times New Roman"/>
          <w:sz w:val="28"/>
          <w:szCs w:val="28"/>
        </w:rPr>
        <w:t xml:space="preserve"> сельского поселения, уважаемые  гости, присутствующие!</w:t>
      </w:r>
      <w:r w:rsidRPr="00EE30ED">
        <w:rPr>
          <w:rFonts w:ascii="Times New Roman" w:hAnsi="Times New Roman"/>
          <w:bCs/>
          <w:sz w:val="28"/>
          <w:szCs w:val="28"/>
        </w:rPr>
        <w:t xml:space="preserve"> </w:t>
      </w:r>
    </w:p>
    <w:p w:rsidR="0081044E" w:rsidRPr="00EE30ED" w:rsidRDefault="0081044E" w:rsidP="00FC20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30ED">
        <w:rPr>
          <w:rFonts w:ascii="Times New Roman" w:hAnsi="Times New Roman"/>
          <w:sz w:val="28"/>
          <w:szCs w:val="28"/>
        </w:rPr>
        <w:t>Сегодня, представляя вашему вниманию отчет о проделанной работе, я постараюсь сделать упор на основные направления деятельности Администрации за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E30ED">
        <w:rPr>
          <w:rFonts w:ascii="Times New Roman" w:hAnsi="Times New Roman"/>
          <w:sz w:val="28"/>
          <w:szCs w:val="28"/>
        </w:rPr>
        <w:t xml:space="preserve"> и обозначить задачи на 2021 год. </w:t>
      </w:r>
    </w:p>
    <w:p w:rsidR="0081044E" w:rsidRPr="00EE30ED" w:rsidRDefault="0081044E" w:rsidP="00276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Каждый новый год приносит в жизнь Савинского сельского поселения изменения, 2020 год не стал исключением. По объемам выполненных работ, задуманных и реализованных планов и задач, он был довольно насыщенным.</w:t>
      </w:r>
    </w:p>
    <w:p w:rsidR="0081044E" w:rsidRPr="00EE30ED" w:rsidRDefault="0081044E" w:rsidP="00276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Администрация поселения работает в рамках 131-ФЗ «Об общих принципах организации местного самоуправления в Российской Федерации», осуществляя полномочия, предусмотренные законодательством Российской Федерации, Уставом Савинского сельского поселения. Деятельность осуществляется во взаимодействии с Советом депутатов Савинского сельского поселения, при активном участии населения, старост населенных пунктов, совета ветеранов, молодежного совета, членов ТОС. </w:t>
      </w:r>
    </w:p>
    <w:p w:rsidR="0081044E" w:rsidRPr="00EE30ED" w:rsidRDefault="0081044E" w:rsidP="009F0A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Работа строилась в соответствии с мероприятиями, направленными на реализацию посланий Президента Российской Федерации, Правительства Российской Федерации,  Правительства Новгородской области,  Администрации Новгородского муниципального района.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Реализация полномочий осуществлялась путем разработки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специалистами администрации, рассмотрения письменных и устных обращений. Для граждан это важнейшее средство реализации, а порой и защиты их прав и законных интересов.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zh-CN"/>
        </w:rPr>
        <w:t xml:space="preserve">В 2020 году администрацией   во исполнение полномочий было  подготовлено и издано 657  постановлений и 159 распоряжений по основной  деятельности. 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zh-CN"/>
        </w:rPr>
        <w:t xml:space="preserve">Депутаты Савинского сельского поселения активно работали весь отчётный год. На 8-ми заседаниях Совета было рассмотрено и принято   51 Решение, из них самые актуальные: вопросы благоустройства, Устава, вопросы бюджета, план ремонта автомобильных дорог. 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zh-CN"/>
        </w:rPr>
        <w:t xml:space="preserve">В отчетном году большое внимание уделялось </w:t>
      </w:r>
      <w:r w:rsidRPr="00EE30ED">
        <w:rPr>
          <w:rFonts w:ascii="Times New Roman" w:hAnsi="Times New Roman"/>
          <w:b/>
          <w:sz w:val="28"/>
          <w:szCs w:val="28"/>
          <w:lang w:eastAsia="zh-CN"/>
        </w:rPr>
        <w:t>работе с населением:</w:t>
      </w:r>
    </w:p>
    <w:p w:rsidR="0081044E" w:rsidRPr="00EE30ED" w:rsidRDefault="0081044E" w:rsidP="00276CF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0ED">
        <w:rPr>
          <w:rFonts w:ascii="Times New Roman" w:hAnsi="Times New Roman"/>
          <w:sz w:val="28"/>
          <w:szCs w:val="28"/>
          <w:lang w:eastAsia="zh-CN"/>
        </w:rPr>
        <w:t>- В  Администрацию Савинского сельского поселения за 2020 год  поступило  853 письменных  обращений граждан. В своей работе мы стремились к тому, чтобы ни одно обращение не осталось без внимания. Вся работа Администрации – это забота о населении. Если люди к нам приходят, значит, надеются на помощь.</w:t>
      </w:r>
    </w:p>
    <w:p w:rsidR="0081044E" w:rsidRPr="00EE30ED" w:rsidRDefault="0081044E" w:rsidP="00FB06B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0ED">
        <w:rPr>
          <w:rFonts w:ascii="Times New Roman" w:hAnsi="Times New Roman"/>
          <w:sz w:val="28"/>
          <w:szCs w:val="28"/>
          <w:lang w:eastAsia="zh-CN"/>
        </w:rPr>
        <w:t xml:space="preserve">            В 2020 году Администрацией было выдано: 35 архивных справок, 29 доверенностей, 90 разрешений на земляные работы, домам и земельным участкам присвоено 439 адресов. </w:t>
      </w:r>
    </w:p>
    <w:p w:rsidR="0081044E" w:rsidRPr="00EE30ED" w:rsidRDefault="0081044E" w:rsidP="00FB06B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30ED">
        <w:rPr>
          <w:rFonts w:ascii="Times New Roman" w:hAnsi="Times New Roman"/>
          <w:sz w:val="28"/>
          <w:szCs w:val="28"/>
        </w:rPr>
        <w:t>Реалии наших дней и развитие информатизации предоставляют широкие возможности для повышения эффективности государственного и местного самоуправления, повышения качества услуг, оказываемых в электронной форме.</w:t>
      </w:r>
    </w:p>
    <w:p w:rsidR="0081044E" w:rsidRPr="00EE30ED" w:rsidRDefault="0081044E" w:rsidP="00276C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 xml:space="preserve">Информационным источником </w:t>
      </w:r>
      <w:r w:rsidRPr="00EE30ED">
        <w:rPr>
          <w:rFonts w:ascii="Times New Roman" w:hAnsi="Times New Roman"/>
          <w:sz w:val="28"/>
          <w:szCs w:val="28"/>
        </w:rPr>
        <w:t xml:space="preserve">для изучения деятельности администрации является официальный сайт поселения. Ежедневно происходит обновление, вносится новая информация. По результатам мониторинга каждый день его посещают в среднем 30 - 35 человек. На нем Вы можете ознакомиться с нормативными документами, графиками приема, новостями, объявлениями, нашими достижениями и успехами. </w:t>
      </w:r>
    </w:p>
    <w:p w:rsidR="0081044E" w:rsidRPr="00EE30ED" w:rsidRDefault="0081044E" w:rsidP="004D29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Официальная информация публикуется в периодическом печатном издании «Савинский вестник».</w:t>
      </w:r>
    </w:p>
    <w:p w:rsidR="0081044E" w:rsidRPr="00EE30ED" w:rsidRDefault="0081044E" w:rsidP="00FB0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Площадкой  для  обсуждения и информирования  по вопросам инициатив  граждан  является  группа ВКонтакте «Инициативное бюджетирование Савинского с/п»</w:t>
      </w:r>
      <w:r>
        <w:rPr>
          <w:rFonts w:ascii="Times New Roman" w:hAnsi="Times New Roman"/>
          <w:sz w:val="28"/>
          <w:szCs w:val="28"/>
        </w:rPr>
        <w:t>,</w:t>
      </w:r>
      <w:r w:rsidRPr="00EE30ED">
        <w:rPr>
          <w:rFonts w:ascii="Times New Roman" w:hAnsi="Times New Roman"/>
          <w:sz w:val="28"/>
          <w:szCs w:val="28"/>
        </w:rPr>
        <w:t xml:space="preserve"> которая насчитывает 249 подписчиков. </w:t>
      </w:r>
    </w:p>
    <w:p w:rsidR="0081044E" w:rsidRPr="00EE30ED" w:rsidRDefault="0081044E" w:rsidP="00FB0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Территория Савинского сельского поселения</w:t>
      </w:r>
      <w:r w:rsidRPr="00EE30ED">
        <w:rPr>
          <w:rFonts w:ascii="Times New Roman" w:hAnsi="Times New Roman"/>
          <w:sz w:val="28"/>
          <w:szCs w:val="28"/>
        </w:rPr>
        <w:t xml:space="preserve"> согласно генеральному плану, составляет 1000,9 кв.км.  В состав территории входит 50 населённых пунктов.</w:t>
      </w:r>
    </w:p>
    <w:p w:rsidR="0081044E" w:rsidRPr="00EE30ED" w:rsidRDefault="0081044E" w:rsidP="00FB0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Cs/>
          <w:sz w:val="28"/>
          <w:szCs w:val="28"/>
        </w:rPr>
        <w:t xml:space="preserve">По данным похозяйственного учет, на начало 2021 года, произошло небольшое </w:t>
      </w:r>
      <w:r w:rsidRPr="00EE30ED">
        <w:rPr>
          <w:rFonts w:ascii="Times New Roman" w:hAnsi="Times New Roman"/>
          <w:b/>
          <w:bCs/>
          <w:sz w:val="28"/>
          <w:szCs w:val="28"/>
        </w:rPr>
        <w:t>увеличение численности населения</w:t>
      </w:r>
      <w:r w:rsidRPr="00EE30ED">
        <w:rPr>
          <w:rFonts w:ascii="Times New Roman" w:hAnsi="Times New Roman"/>
          <w:bCs/>
          <w:sz w:val="28"/>
          <w:szCs w:val="28"/>
        </w:rPr>
        <w:t xml:space="preserve"> Савинского поселения на 90 человек и сейчас численность составляет 9735 чел</w:t>
      </w:r>
      <w:r>
        <w:rPr>
          <w:rFonts w:ascii="Times New Roman" w:hAnsi="Times New Roman"/>
          <w:bCs/>
          <w:sz w:val="28"/>
          <w:szCs w:val="28"/>
        </w:rPr>
        <w:t>овек</w:t>
      </w:r>
      <w:r w:rsidRPr="00EE30ED">
        <w:rPr>
          <w:rFonts w:ascii="Times New Roman" w:hAnsi="Times New Roman"/>
          <w:bCs/>
          <w:sz w:val="28"/>
          <w:szCs w:val="28"/>
        </w:rPr>
        <w:t xml:space="preserve">. </w:t>
      </w:r>
    </w:p>
    <w:p w:rsidR="0081044E" w:rsidRPr="00EE30ED" w:rsidRDefault="0081044E" w:rsidP="00276C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 2020 году населением введено в эксплуатацию жилья по площади 25 тысяч 027 квадратных метров. </w:t>
      </w:r>
    </w:p>
    <w:p w:rsidR="0081044E" w:rsidRPr="00EE30ED" w:rsidRDefault="0081044E" w:rsidP="00FB06B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По данным отдела ЗАГС Новгородского района выдано 21 свидетельство о рождении детей, 8 актов гражданского состояния о заключении брака, 29 свидетельств о смерти, 15 свидетельств о расторжении брака.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0ED">
        <w:rPr>
          <w:rFonts w:ascii="Times New Roman" w:hAnsi="Times New Roman"/>
          <w:sz w:val="28"/>
          <w:szCs w:val="28"/>
        </w:rPr>
        <w:t xml:space="preserve">Одной из главных задач исполнительной власти является своевременное и грамотное распоряжение </w:t>
      </w:r>
      <w:r w:rsidRPr="00EE30ED">
        <w:rPr>
          <w:rFonts w:ascii="Times New Roman" w:hAnsi="Times New Roman"/>
          <w:b/>
          <w:sz w:val="28"/>
          <w:szCs w:val="28"/>
        </w:rPr>
        <w:t>средствами бюджета.</w:t>
      </w:r>
    </w:p>
    <w:p w:rsidR="0081044E" w:rsidRPr="00EE30ED" w:rsidRDefault="0081044E" w:rsidP="00FA05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Прогноз собственных доходов бюджета поселения на 2020 год был рассчитан исходя из основных показателей социально-экономического развития, ожидаемого поступления налоговых и неналоговых доходов.</w:t>
      </w:r>
    </w:p>
    <w:p w:rsidR="0081044E" w:rsidRPr="00EE30ED" w:rsidRDefault="0081044E" w:rsidP="00FA05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Расходы были запланированы исходя из полномочий Администрации.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Доходная часть</w:t>
      </w:r>
      <w:r w:rsidRPr="00EE30ED">
        <w:rPr>
          <w:rFonts w:ascii="Times New Roman" w:hAnsi="Times New Roman"/>
          <w:sz w:val="28"/>
          <w:szCs w:val="28"/>
        </w:rPr>
        <w:t xml:space="preserve"> бюджета нашего муниципального образования в 2020 году определялась суммой 82 миллиона 663 тысячи 404 руб., 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было запланировано</w:t>
      </w:r>
      <w:r w:rsidRPr="00EE30ED">
        <w:rPr>
          <w:rFonts w:ascii="Times New Roman" w:hAnsi="Times New Roman"/>
          <w:sz w:val="28"/>
          <w:szCs w:val="28"/>
        </w:rPr>
        <w:t> 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80 584 401.57 руб., исполнение составило 100 %.</w:t>
      </w:r>
      <w:r w:rsidRPr="00EE30ED">
        <w:rPr>
          <w:rFonts w:ascii="Times New Roman" w:hAnsi="Times New Roman"/>
          <w:sz w:val="28"/>
          <w:szCs w:val="28"/>
        </w:rPr>
        <w:t xml:space="preserve">По сравнению с 2019 годом, доходы увеличились  на 14 миллионов 156 тысяч 810 руб. 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 доходах бюджета поселения на 2020 год также учтены </w:t>
      </w:r>
      <w:r w:rsidRPr="006401AD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E30ED">
        <w:rPr>
          <w:rFonts w:ascii="Times New Roman" w:hAnsi="Times New Roman"/>
          <w:sz w:val="28"/>
          <w:szCs w:val="28"/>
        </w:rPr>
        <w:t xml:space="preserve"> в сумме </w:t>
      </w:r>
      <w:r w:rsidRPr="00EE30ED">
        <w:rPr>
          <w:rFonts w:ascii="Times New Roman" w:hAnsi="Times New Roman"/>
          <w:bCs/>
          <w:sz w:val="28"/>
          <w:szCs w:val="28"/>
        </w:rPr>
        <w:t>52 050 041,57</w:t>
      </w:r>
      <w:r w:rsidRPr="00EE30ED">
        <w:rPr>
          <w:rFonts w:ascii="Times New Roman" w:hAnsi="Times New Roman"/>
          <w:sz w:val="28"/>
          <w:szCs w:val="28"/>
        </w:rPr>
        <w:t xml:space="preserve"> рублей, в т.ч.: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i/>
          <w:sz w:val="28"/>
          <w:szCs w:val="28"/>
          <w:shd w:val="clear" w:color="auto" w:fill="FFFFFF"/>
        </w:rPr>
        <w:t>1) субсидии – всего 35 125 510,00 в т.ч.:</w:t>
      </w:r>
      <w:r w:rsidRPr="00EE30ED">
        <w:rPr>
          <w:rFonts w:ascii="Times New Roman" w:hAnsi="Times New Roman"/>
          <w:i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 ГРАНТ – 350 000,00 рублей,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Капитальный ремонт МАУ «Савинский Дом Культуры» – 8 457 010,00 рублей,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 дорожный фонд – 25 049 000,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 ППМИ – 1 200 000,00,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 ТОС– 69 500,00 рублей, исполнение 100%;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i/>
          <w:sz w:val="28"/>
          <w:szCs w:val="28"/>
          <w:shd w:val="clear" w:color="auto" w:fill="FFFFFF"/>
        </w:rPr>
        <w:t>2) дотации бюджетам сельских поселений – 13 278 300,00 рублей, 100%;</w:t>
      </w:r>
      <w:r w:rsidRPr="00EE30ED">
        <w:rPr>
          <w:rFonts w:ascii="Times New Roman" w:hAnsi="Times New Roman"/>
          <w:i/>
          <w:sz w:val="28"/>
          <w:szCs w:val="28"/>
        </w:rPr>
        <w:br/>
      </w:r>
      <w:r w:rsidRPr="00EE30ED">
        <w:rPr>
          <w:rFonts w:ascii="Times New Roman" w:hAnsi="Times New Roman"/>
          <w:i/>
          <w:sz w:val="28"/>
          <w:szCs w:val="28"/>
          <w:shd w:val="clear" w:color="auto" w:fill="FFFFFF"/>
        </w:rPr>
        <w:t>3) иные межбюджетные трансферты – всего 2 824 231,57, в т.ч.:</w:t>
      </w:r>
      <w:r w:rsidRPr="00EE30ED">
        <w:rPr>
          <w:rFonts w:ascii="Times New Roman" w:hAnsi="Times New Roman"/>
          <w:i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 Добрые дела – 338 983,00,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компенсация дополнительных расходов на повышение оплаты труда работников бюджетной сферы – 228 100,00 рублей, 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организация работ по проведению дезинфекции придомовых территорий и мест общего пользования в МКД в целях профилактики и устранения последствий распространения коронавирусной инфекции – 102 976,27 рублей,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организация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– 154 172,30 рублей, 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проведение комплекса мероприятий, направленных на социально-экономическое развитие сельских поселений – 2 000 000,00 рублей, исполнение 100%.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i/>
          <w:sz w:val="28"/>
          <w:szCs w:val="28"/>
          <w:shd w:val="clear" w:color="auto" w:fill="FFFFFF"/>
        </w:rPr>
        <w:t>4) субвенции- всего 462 000,00, в т.ч.:</w:t>
      </w:r>
      <w:r w:rsidRPr="00EE30ED">
        <w:rPr>
          <w:rFonts w:ascii="Times New Roman" w:hAnsi="Times New Roman"/>
          <w:i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осуществление первичного воинского учета – 223 400,00 рублей, исполнение 100%,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выполнение передаваемых полномочий субъектов Российской Федерации – 238 600,00 рублей, исполнение 100%;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i/>
          <w:sz w:val="28"/>
          <w:szCs w:val="28"/>
          <w:shd w:val="clear" w:color="auto" w:fill="FFFFFF"/>
        </w:rPr>
        <w:t>5) прочие безвозмездные поступления в бюджеты сельских поселений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 xml:space="preserve"> – 360 000,00.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1AD">
        <w:rPr>
          <w:rFonts w:ascii="Times New Roman" w:hAnsi="Times New Roman"/>
          <w:b/>
          <w:sz w:val="28"/>
          <w:szCs w:val="28"/>
        </w:rPr>
        <w:t>Основные источники налоговой доходной части бюджета</w:t>
      </w:r>
      <w:r w:rsidRPr="00EE30ED">
        <w:rPr>
          <w:rFonts w:ascii="Times New Roman" w:hAnsi="Times New Roman"/>
          <w:sz w:val="28"/>
          <w:szCs w:val="28"/>
        </w:rPr>
        <w:t xml:space="preserve">: 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земельный налог – 19 654 621,45 рублей 108,6 %;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акцизы – 5 218 297,98 рублей, 98,2 %.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налог на имущество физических лиц – 3 925 978,61 рублей 116,5 %;</w:t>
      </w:r>
    </w:p>
    <w:p w:rsidR="0081044E" w:rsidRPr="00EE30ED" w:rsidRDefault="0081044E" w:rsidP="00FB0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НДФЛ – 1 539 398,23 рублей 104,3 %;</w:t>
      </w:r>
    </w:p>
    <w:p w:rsidR="0081044E" w:rsidRPr="00EA44CF" w:rsidRDefault="0081044E" w:rsidP="00EA44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государственная пошлина за нотариальные действия –6 240,00 рублей, 104,0 %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>Таким образом, общая сумма составляет 30 344 536,1 рублей.</w:t>
      </w:r>
    </w:p>
    <w:p w:rsidR="0081044E" w:rsidRPr="00EE30ED" w:rsidRDefault="0081044E" w:rsidP="00EE30E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Исполнение бюджета по доходной части составило 103%.</w:t>
      </w:r>
    </w:p>
    <w:p w:rsidR="0081044E" w:rsidRPr="00EE30ED" w:rsidRDefault="0081044E" w:rsidP="00EE30E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401AD">
        <w:rPr>
          <w:rFonts w:ascii="Times New Roman" w:hAnsi="Times New Roman"/>
          <w:b/>
          <w:sz w:val="28"/>
          <w:szCs w:val="28"/>
          <w:shd w:val="clear" w:color="auto" w:fill="FFFFFF"/>
        </w:rPr>
        <w:t>Неналоговые доходы: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платежи в целях возмещения убытков– 130 070,16 рублей, 97,1%;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доходы от аренды имущества – 62 830,70 рублей, 104,7 %;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прочие неналоговые доходы- 32 546,00 рублей, 101,7%</w:t>
      </w:r>
      <w:r w:rsidRPr="00EE30ED">
        <w:rPr>
          <w:rFonts w:ascii="Times New Roman" w:hAnsi="Times New Roman"/>
          <w:sz w:val="28"/>
          <w:szCs w:val="28"/>
        </w:rPr>
        <w:br/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- доходы от компенсации затрат государства – 7 996,19 рублей, 100%;</w:t>
      </w:r>
    </w:p>
    <w:p w:rsidR="0081044E" w:rsidRPr="00EE30ED" w:rsidRDefault="0081044E" w:rsidP="000F66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Расходы</w:t>
      </w:r>
      <w:r w:rsidRPr="00EE30ED">
        <w:rPr>
          <w:rFonts w:ascii="Times New Roman" w:hAnsi="Times New Roman"/>
          <w:sz w:val="28"/>
          <w:szCs w:val="28"/>
        </w:rPr>
        <w:t xml:space="preserve"> бюджета за 2020 год составили сумму в размере 83 миллиона 603 тысячи 435 руб. По сравнению с 2019 годом расходы увеличились на 6 миллионов 58 тысяч 853 руб. Исполнение бюджета по расходной части составило 98%.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Основная часть расходов была направлена по следующим статьям: содержание дорог, уличное освещение, содержание СДК, благоустройство.</w:t>
      </w:r>
    </w:p>
    <w:p w:rsidR="0081044E" w:rsidRPr="00EE30ED" w:rsidRDefault="0081044E" w:rsidP="00514038">
      <w:pPr>
        <w:tabs>
          <w:tab w:val="left" w:pos="567"/>
          <w:tab w:val="left" w:pos="821"/>
          <w:tab w:val="left" w:pos="10524"/>
        </w:tabs>
        <w:ind w:right="170" w:firstLine="567"/>
        <w:jc w:val="both"/>
        <w:rPr>
          <w:rFonts w:ascii="Times New Roman" w:hAnsi="Times New Roman"/>
          <w:b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За 2020 год были выполнены следующие виды работ </w:t>
      </w:r>
      <w:r w:rsidRPr="00EE30ED">
        <w:rPr>
          <w:rFonts w:ascii="Times New Roman" w:hAnsi="Times New Roman"/>
          <w:b/>
          <w:sz w:val="28"/>
          <w:szCs w:val="28"/>
        </w:rPr>
        <w:t>по капитальному ремонту многоквартирных домов:</w:t>
      </w:r>
    </w:p>
    <w:tbl>
      <w:tblPr>
        <w:tblW w:w="10861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85"/>
        <w:gridCol w:w="3679"/>
        <w:gridCol w:w="2332"/>
        <w:gridCol w:w="3765"/>
      </w:tblGrid>
      <w:tr w:rsidR="0081044E" w:rsidRPr="00856744" w:rsidTr="00B94A68">
        <w:trPr>
          <w:trHeight w:val="4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д.Савино, ул.Центральная, д.2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 xml:space="preserve">                    937 052,00  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д.Савино, ул.Центральная, д.3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 xml:space="preserve">1 151 535,00 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системы горячего водоснабжения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744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2 088 587,00   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44E" w:rsidRPr="00856744" w:rsidTr="00ED43E6">
        <w:trPr>
          <w:trHeight w:val="440"/>
        </w:trPr>
        <w:tc>
          <w:tcPr>
            <w:tcW w:w="10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4E" w:rsidRPr="00856744" w:rsidRDefault="0081044E" w:rsidP="00994E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2021 год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д.Савино, ул.Центральная, д.5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 xml:space="preserve">1 326 131,64   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п.Волховец,у.Пионерская,д.19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 xml:space="preserve">1 434 102,10 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д.Новоселицы,ул.Молодежная,д.9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844 929,70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д.Новоселицы,ул.Центральная,д.110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3 437 182,30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1 959 380,84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д. Новониколаевское ,д.39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198 610,15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  <w:r w:rsidRPr="00856744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</w:tr>
      <w:tr w:rsidR="0081044E" w:rsidRPr="00856744" w:rsidTr="00B94A68">
        <w:trPr>
          <w:trHeight w:val="44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4E" w:rsidRPr="00856744" w:rsidRDefault="0081044E" w:rsidP="00B94A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4E" w:rsidRPr="00856744" w:rsidRDefault="0081044E" w:rsidP="00B94A68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744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44E" w:rsidRPr="00856744" w:rsidRDefault="0081044E" w:rsidP="00B94A68">
            <w:pPr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6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9 200 336,73       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44E" w:rsidRPr="00856744" w:rsidRDefault="0081044E" w:rsidP="00B94A6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44E" w:rsidRPr="00EE30ED" w:rsidRDefault="0081044E" w:rsidP="00423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81044E" w:rsidRPr="00EE30ED" w:rsidRDefault="0081044E" w:rsidP="00276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Важным направлением организации деятельности Администрации является </w:t>
      </w:r>
      <w:r w:rsidRPr="00EE30ED">
        <w:rPr>
          <w:rFonts w:ascii="Times New Roman" w:hAnsi="Times New Roman"/>
          <w:b/>
          <w:sz w:val="28"/>
          <w:szCs w:val="28"/>
        </w:rPr>
        <w:t>пожарная безопасность</w:t>
      </w:r>
      <w:r w:rsidRPr="00EE30ED">
        <w:rPr>
          <w:rFonts w:ascii="Times New Roman" w:hAnsi="Times New Roman"/>
          <w:sz w:val="28"/>
          <w:szCs w:val="28"/>
        </w:rPr>
        <w:t xml:space="preserve">. </w:t>
      </w:r>
    </w:p>
    <w:p w:rsidR="0081044E" w:rsidRPr="00EE30ED" w:rsidRDefault="0081044E" w:rsidP="00276C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Остро стоит вопрос бесконтрольного выжигания сухой травянистой растительности и сжигания мусора. Специалистами администрации, совместно с сотрудниками надзорной деятельности проводятся обходы с целью разъяснительной работы, а также инструктажи под роспись.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В 2020 году были заключены договора на выполнение работ по оборудованию пожарных водоемов в д. Хутынь на ул. Соборная и ул. Луговая, проведена расчистка пожарного водоема в д. Новоселицы на переулке Клубный. Оборудован площадкой пожарный водоем в д. Новоселицы на ул. Центральная.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Проводились кадастровые работы по постановке на учет земельных участков выделенных под пожарные водоемы.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Проводятся мероприятия по обеспечению безопасности пребывания людей на водных объектах.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На проведение водолазного обследования дна водных объектов и проведение санитарно-эпидемиологического исследования мест предполагаемого купания израсходовано 80,467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Всего на пожарную безопасность израсходовано 217,000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Одним из самых актуальных вопросов был и остается </w:t>
      </w:r>
      <w:r w:rsidRPr="00EE30ED">
        <w:rPr>
          <w:rFonts w:ascii="Times New Roman" w:hAnsi="Times New Roman"/>
          <w:b/>
          <w:sz w:val="28"/>
          <w:szCs w:val="28"/>
          <w:lang w:eastAsia="en-US"/>
        </w:rPr>
        <w:t>вопрос </w:t>
      </w:r>
      <w:r w:rsidRPr="00EE30ED">
        <w:rPr>
          <w:rFonts w:ascii="Times New Roman" w:hAnsi="Times New Roman"/>
          <w:b/>
          <w:bCs/>
          <w:iCs/>
          <w:sz w:val="28"/>
          <w:szCs w:val="28"/>
          <w:lang w:eastAsia="en-US"/>
        </w:rPr>
        <w:t>благоустройства территории</w:t>
      </w:r>
      <w:r w:rsidRPr="00EE30ED">
        <w:rPr>
          <w:rFonts w:ascii="Times New Roman" w:hAnsi="Times New Roman"/>
          <w:bCs/>
          <w:i/>
          <w:iCs/>
          <w:sz w:val="28"/>
          <w:szCs w:val="28"/>
          <w:lang w:eastAsia="en-US"/>
        </w:rPr>
        <w:t>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Эта работа, которую невозможно закончить или приостановить.</w:t>
      </w:r>
      <w:r w:rsidRPr="00EE30ED">
        <w:rPr>
          <w:rFonts w:ascii="Times New Roman" w:hAnsi="Times New Roman"/>
          <w:sz w:val="28"/>
          <w:szCs w:val="28"/>
        </w:rPr>
        <w:t xml:space="preserve"> На территории Савинского сельского поселения утверждены Правила благоустройства. На основании принятых Правил, специалистами поселения регулярно проводятся обходы. По результатам выдавались предписания на устранение нарушений правил благоустройства с проведением последующего контроля.  Так, в 2020 году выдано 70 предписаний. В основном предписания касались приведения в порядок территории и содержания животных.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Проблемой является и то, что далеко не всеми собственниками заключены договора на вывоз ТКО, что влечет за собой образование на территории поселения несанкционированных свалок. 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В отчетный период на эти цели из бюджета было потрачено 153 тысячи 599 рублей. </w:t>
      </w:r>
    </w:p>
    <w:p w:rsidR="0081044E" w:rsidRPr="00EE30ED" w:rsidRDefault="0081044E" w:rsidP="00276CF4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В борьбу за чистоту и ухоженность территорий Администрация поселения старается включить и само население, используя при этом разные средства и формы, такие как проведение субботников, привлечение волонтеров и просто неравнодушных людей.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2020 году продолжалась работа по установке площадок накопления твердых коммунальных отходов. На территории поселения установлено 8 площадок в д. Кунино, д. Рышево (4 площадки), д. Змейско, д. Городок, д. Хутынь. На эти цели из бюджета было выделено 324,020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  <w:r w:rsidRPr="00EE30ED"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  <w:t>В период эпидемии короновирусной инфекции были заключены договора на обработку детских и спортивных площадок, расположенных в населенных пунктах поселения, на что было потрачено 50,073 рубля.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Учитывая, что в 2021 году будет проходить Всероссийская перепись населения, Администрация проводит инвентаризацию адресного хозяйства. В 2020 году на изготовление и приобретение домовых знаков было потрачено 86 тысяч 260 рублей. Приобретенные домовые знаки уже установлены на домовладениях.</w:t>
      </w:r>
    </w:p>
    <w:p w:rsidR="0081044E" w:rsidRPr="00EE30ED" w:rsidRDefault="0081044E" w:rsidP="00EE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shd w:val="clear" w:color="auto" w:fill="FFFFFF"/>
        </w:rPr>
        <w:t xml:space="preserve">Хочется напомнить, что перепись будет проходить в период с 23 августа по 30 сентября 2021 года, для граждан будет 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доступен один из трёх способов переписи: самостоятельно на портале «Госуслуг», традиционно – ответив на вопросы переписчика, или в стационарных переписных пунктах, в частности, в МФЦ. </w:t>
      </w:r>
      <w:r w:rsidRPr="00EE30ED">
        <w:rPr>
          <w:rFonts w:ascii="Times New Roman" w:hAnsi="Times New Roman"/>
          <w:sz w:val="28"/>
          <w:szCs w:val="28"/>
        </w:rPr>
        <w:t>Итоги переписи будут положены в дальнейшее развитие нашей страны, в том числе и нашей области, нашего района и нашего поселения. Прошу Вас ответственно отнестись к данному мероприятию и принять участие  в переписи населения.</w:t>
      </w:r>
    </w:p>
    <w:p w:rsidR="0081044E" w:rsidRPr="00EE30ED" w:rsidRDefault="0081044E" w:rsidP="00EE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В 2020 году продолжалось проведение работ по статье «Озеленение». Конечно, основная часть средств из утвержденной на эти цели суммы была израсходована на обрезку и спил деревьев, представляющих опасность для населения. Работы в основном проводились по заявлениям жителей и по результатам осмотров комиссии.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Заключались договора по окосу территорий общественных мест, детских площадок, пешеходных зон. В общей сложности на данные работы было потрачено 402 тысячи 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Кроме того в 2020 году остро встала проблема распространения борщевика на территории населенных пунктов. В весенне-летний период была проведена двухразовая обработка территорий заселенных опасным сорняком в д. Божонка, д. Дубровка, на что было направлено 27 тысяч 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Большое внимание уделялось местам захоронения.  На территории поселения расположены 20 гражданских кладбищ. На кладбищах в д. Кунино, д. Рышево, д. Змейско, д. Городок, оборудованы площадки для сбора мусора.</w:t>
      </w:r>
    </w:p>
    <w:p w:rsidR="0081044E" w:rsidRPr="00EE30ED" w:rsidRDefault="0081044E" w:rsidP="00EE3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 Савинском сельском поселении 22 воинских захоронения, ежегодно администрацией поселения совместно с жителями проводятся работы по их уборке и косметический ремонт. </w:t>
      </w:r>
    </w:p>
    <w:p w:rsidR="0081044E" w:rsidRPr="00EE30ED" w:rsidRDefault="0081044E" w:rsidP="00EE3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Одной из острых проблем является уличное освещение. </w:t>
      </w:r>
    </w:p>
    <w:p w:rsidR="0081044E" w:rsidRPr="00EE30ED" w:rsidRDefault="0081044E" w:rsidP="00B374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На улицах нашего поселения зарегистрирован 1361 светильник.</w:t>
      </w:r>
      <w:r w:rsidRPr="00EE30ED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</w:t>
      </w:r>
    </w:p>
    <w:p w:rsidR="0081044E" w:rsidRPr="00EE30ED" w:rsidRDefault="0081044E" w:rsidP="00B374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>В 2020 году, в целях проведения комплекса мероприятий, направленных на социально-экономическое развитие сельского поселения, по ходатайству и  участию в решении вопроса Главы района  Олега  Игоревича Шахова,  из бюджета Новгородской области Савинскому поселению предоставлен межбюджетный трансферт в сумме 2 миллиона рублей.</w:t>
      </w:r>
      <w:r w:rsidRPr="00EE30ED">
        <w:rPr>
          <w:rFonts w:ascii="Times New Roman" w:hAnsi="Times New Roman"/>
          <w:b/>
          <w:sz w:val="28"/>
          <w:szCs w:val="28"/>
        </w:rPr>
        <w:t xml:space="preserve"> </w:t>
      </w:r>
      <w:r w:rsidRPr="00EE30ED">
        <w:rPr>
          <w:rFonts w:ascii="Times New Roman" w:hAnsi="Times New Roman"/>
          <w:bCs/>
          <w:iCs/>
          <w:sz w:val="28"/>
          <w:szCs w:val="28"/>
          <w:lang w:eastAsia="en-US"/>
        </w:rPr>
        <w:t>На эти средства проведены работы по замене существующих светильников ДРЛ на энергосберегающие, а также установлены дополнительные светильники всего 332 штуки в населенных пунктах д.Зарелье, д.Шолохово, д.Новая Деревня.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Основной акцент делался на освещение перекрестков и мест интенсивного движения.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EE30ED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Ремонт фонарей и замена ламп уличного освещения производится по заявкам жителей. </w:t>
      </w:r>
    </w:p>
    <w:p w:rsidR="0081044E" w:rsidRPr="00EE30ED" w:rsidRDefault="0081044E" w:rsidP="00EE30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EE30ED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Затраты на уличное освещение составили 10 миллионов 514 тыс. рублей.  </w:t>
      </w:r>
    </w:p>
    <w:p w:rsidR="0081044E" w:rsidRPr="00EE30ED" w:rsidRDefault="0081044E" w:rsidP="00EE30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В 2020 году продолжал успешно работать </w:t>
      </w:r>
      <w:r w:rsidRPr="00EE30ED">
        <w:rPr>
          <w:rFonts w:ascii="Times New Roman" w:hAnsi="Times New Roman"/>
          <w:b/>
          <w:sz w:val="28"/>
          <w:szCs w:val="28"/>
        </w:rPr>
        <w:t>проект по поддержке местных инициатив</w:t>
      </w:r>
      <w:r w:rsidRPr="00EE30ED">
        <w:rPr>
          <w:rFonts w:ascii="Times New Roman" w:hAnsi="Times New Roman"/>
          <w:sz w:val="28"/>
          <w:szCs w:val="28"/>
        </w:rPr>
        <w:t>, благодаря которому жители Савинского поселения получают возможность благоустроить территории своих населенных пунктов, отремонтировать дороги, обустроить детские площадки, отремонтировать дома культуры, создать спортивные объекты и многое другое. Напомню, проект поддержки местных инициатив (ППМИ) стартовал в нашей области в 2018 году по инициативе губернатора Андрея Никитина.</w:t>
      </w:r>
    </w:p>
    <w:p w:rsidR="0081044E" w:rsidRPr="00EE30ED" w:rsidRDefault="0081044E" w:rsidP="00276CF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30ED">
        <w:rPr>
          <w:sz w:val="28"/>
          <w:szCs w:val="28"/>
        </w:rPr>
        <w:t xml:space="preserve">В рамках проекта по поддержке местных инициатив за счет средств областного бюджета предоставляются субсидии на софинансирование проектов, внесенных по инициативе жителей. </w:t>
      </w:r>
      <w:r w:rsidRPr="00EE30ED">
        <w:rPr>
          <w:sz w:val="28"/>
          <w:szCs w:val="28"/>
          <w:lang w:eastAsia="en-US"/>
        </w:rPr>
        <w:t xml:space="preserve"> Участвуя в данном проекте, жители непосредственно определяют направление расходования бюджетных средств. Софинансируя выбранные объекты, они вправе контролировать выполнение работ.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2020 году на собрании жителей д.Хутынь было принято решение об участии в проекте ППМИ. </w:t>
      </w:r>
      <w:r w:rsidRPr="00EE30ED">
        <w:rPr>
          <w:rFonts w:ascii="Times New Roman" w:hAnsi="Times New Roman"/>
          <w:sz w:val="28"/>
          <w:szCs w:val="28"/>
          <w:lang w:eastAsia="en-US"/>
        </w:rPr>
        <w:t>По итогам конкурсного отбора проект «</w:t>
      </w:r>
      <w:r w:rsidRPr="00EE30E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Обустройство спортивной площадки с детским комплексом и местом проведения культурно-массовых мероприятий под названием «Веселый городок»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получил сертификат на сумму 1 миллион 200 тыс. рублей из областного бюджета. </w:t>
      </w:r>
      <w:r w:rsidRPr="00EE30ED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Обустройство спортивной площадки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стало возможным благодаря сотрудничеству органов власти и инициативы населения.  В реализацию  проекта вложены средства местного бюджета всего 735 тыс.рублей, средства спонсоров и населения в сумме 360 тыс.руб, привлечено трудовое участие населения.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E30ED">
        <w:rPr>
          <w:rFonts w:ascii="Times New Roman" w:hAnsi="Times New Roman"/>
          <w:sz w:val="28"/>
          <w:szCs w:val="28"/>
          <w:bdr w:val="none" w:sz="0" w:space="0" w:color="auto" w:frame="1"/>
        </w:rPr>
        <w:t>Сумма затраченных средств на проект = 2 295 000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Развитие органов территориального общественного самоуправления (далее – </w:t>
      </w:r>
      <w:r w:rsidRPr="00EE30ED">
        <w:rPr>
          <w:rFonts w:ascii="Times New Roman" w:hAnsi="Times New Roman"/>
          <w:b/>
          <w:sz w:val="28"/>
          <w:szCs w:val="28"/>
          <w:lang w:eastAsia="en-US"/>
        </w:rPr>
        <w:t>ТОС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) приобретает особое значение. На территории поселения создано 17 ТОСов, которые с 2016 года показывают реальные примеры успешной реализации гражданских инициатив. </w:t>
      </w:r>
    </w:p>
    <w:p w:rsidR="0081044E" w:rsidRPr="00EE30ED" w:rsidRDefault="0081044E" w:rsidP="00D81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Хочется  пожелать,  чтобы и в наступающем году  эту совместную работу  мы продолжили.</w:t>
      </w:r>
    </w:p>
    <w:p w:rsidR="0081044E" w:rsidRPr="00EE30ED" w:rsidRDefault="0081044E" w:rsidP="00F50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В 2020 году в очередной раз  из областного бюджета  поселению была выделена субсидия на реализацию проектов местных инициатив граждан, проживающих на территории Савинского сельского поселения. </w:t>
      </w:r>
    </w:p>
    <w:p w:rsidR="0081044E" w:rsidRPr="00EE30ED" w:rsidRDefault="0081044E" w:rsidP="00D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 2020 г. участниками ТОС 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«Соседи», что проживают в доме 27 по ул. Новая, д. Божонка, </w:t>
      </w:r>
      <w:r w:rsidRPr="00EE30ED">
        <w:rPr>
          <w:rFonts w:ascii="Times New Roman" w:hAnsi="Times New Roman"/>
          <w:sz w:val="28"/>
          <w:szCs w:val="28"/>
        </w:rPr>
        <w:t>было принято решение об установке металлического ограждения по фасаду многоквартирного дома. На эту цель была выделена субсидия из областного бюджета в размере 69 500 руб., софинансирование из местного бюджета составило 32 500 рублей.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Мы  ценим  стремление  жителей быть участниками  проектов  и  будем  активно  его поддерживать.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Напомню, </w:t>
      </w:r>
      <w:r w:rsidRPr="00EE30ED">
        <w:rPr>
          <w:rFonts w:ascii="Times New Roman" w:hAnsi="Times New Roman"/>
          <w:b/>
          <w:sz w:val="28"/>
          <w:szCs w:val="28"/>
          <w:lang w:eastAsia="en-US"/>
        </w:rPr>
        <w:t>проект «Дорога к дому»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действует в Новгородской области по инициативе губернатора Андрея Никитина и предполагает ремонт небольших, но особенно значимых для жителей дорог. В прошлом году в Савинском поселении в рамках этой региональной программы было отремонтировано 4 дороги, протяженностью 4,2 км в населенных пунктах </w:t>
      </w:r>
      <w:r w:rsidRPr="00EE30ED">
        <w:rPr>
          <w:rFonts w:ascii="Times New Roman" w:hAnsi="Times New Roman"/>
          <w:sz w:val="28"/>
          <w:szCs w:val="28"/>
        </w:rPr>
        <w:t>д.Александровское ул.А.Невского, д.Савино ул.Речная, д.Новониколаевское, д.Сопки ул.Героев.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>Сумма затраченных средств на эти цели  более 7 миллионов рублей.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>В рамках ремонта  в 2020 году отремонтировано 17 дорог, общей протяженностью 8,3 км: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д.Слутка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ул.Культурная д.Сперанская Мыза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ул.Парковая д.Сперанская Мыза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ул.Молодежная д.Сперанская Мыза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д.Ушерско до дома №26Б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ул.Солнечная д.Шолохово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ул.Полевая д.Шолохово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ул.Светлая д.Кирилловское Сельцо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ул.Лесная д.Кирилловское Сельцо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д.Кунино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ул.Лесная д.Дубровка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ул.Орловская, д.Хутынь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уул.Весеняя (продолжение) д.Хутынь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ул.Весенняя д.Хутынь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ул.Микешина М.О. д.Хутынь</w:t>
      </w:r>
    </w:p>
    <w:p w:rsidR="0081044E" w:rsidRPr="00EE30ED" w:rsidRDefault="0081044E" w:rsidP="009C0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ул.Звездная (продолжение) д.Хутынь</w:t>
      </w:r>
    </w:p>
    <w:p w:rsidR="0081044E" w:rsidRPr="00EE30ED" w:rsidRDefault="0081044E" w:rsidP="00EE3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ул.Полевая д.Зарелье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2020 году Администрацией поселения  продолжались работы по обеспечению транспортной инфраструктурой  земельных участков, предоставленных льготной категории граждан. К</w:t>
      </w:r>
      <w:r w:rsidRPr="00EE30ED">
        <w:rPr>
          <w:rFonts w:ascii="Times New Roman" w:hAnsi="Times New Roman"/>
          <w:sz w:val="28"/>
          <w:szCs w:val="28"/>
        </w:rPr>
        <w:t>апитально отремонтированы  дороги ул.Каштановая 1 и Каштановая 2 в   массиве д. Шолохово, общей протяженностью 1,2 км.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Потрачено более 1 миллиона рублей на  изыскания, подготовку проектно-сметной документации на строительство дорог в массиве д.Новоселицы.  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Всего расходы дорожного фонда на ремонт, капитальный ремонт и содержание дорог местного значения составили </w:t>
      </w:r>
      <w:r w:rsidRPr="00EE30ED">
        <w:rPr>
          <w:rFonts w:ascii="Times New Roman" w:hAnsi="Times New Roman"/>
          <w:sz w:val="28"/>
          <w:szCs w:val="28"/>
        </w:rPr>
        <w:t>32 миллиона 203 тыс. рублей</w:t>
      </w:r>
      <w:r w:rsidRPr="00EE30ED">
        <w:rPr>
          <w:rFonts w:ascii="Times New Roman" w:hAnsi="Times New Roman"/>
          <w:sz w:val="28"/>
          <w:szCs w:val="28"/>
          <w:lang w:eastAsia="en-US"/>
        </w:rPr>
        <w:t>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Основой транспортной сети поселения является автомобильная дорожная сеть, состоящая из 292 автомобильных дорог местного значения, протяженностью </w:t>
      </w:r>
      <w:r w:rsidRPr="00EE30ED">
        <w:rPr>
          <w:rFonts w:ascii="Times New Roman" w:hAnsi="Times New Roman"/>
          <w:sz w:val="28"/>
          <w:szCs w:val="28"/>
        </w:rPr>
        <w:t>более 165 километров.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Ежегодно протяженность дорог Савинского сельского поселения увеличивается, в 2020 году паспортизировано более 5 км автодорог.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Пропаганда здорового образа жизни, </w:t>
      </w:r>
      <w:r w:rsidRPr="00EE30ED">
        <w:rPr>
          <w:rFonts w:ascii="Times New Roman" w:hAnsi="Times New Roman"/>
          <w:b/>
          <w:sz w:val="28"/>
          <w:szCs w:val="28"/>
          <w:lang w:eastAsia="en-US"/>
        </w:rPr>
        <w:t>развитие физкультуры и спорта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являются важными направлениями социальной политики нашей страны. Не первый год администрация поселения занимается укреплением материально-технической базы для развития спорта на территории поселения. 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Ежегодно мы  работаем по дополнительному оснащению спортивного и игрового оборудования на детские площадки поселения. В рамках акции «Добрые дела» в д. Мшага была обустроена детская площадка на сумму 208 000 рублей, в д.Божонка установлены спортивные тренажеры на сумму 130 983 рублей.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В д.Слутка было установлено оборудование на детскую площадку на сумму 455 000 (ГРАНТ). В 2021 году эта работа будет продолжена.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Администрацией ведется исполнение отдельных государственных полномочий в </w:t>
      </w:r>
      <w:r w:rsidRPr="00EE30ED">
        <w:rPr>
          <w:rFonts w:ascii="Times New Roman" w:hAnsi="Times New Roman"/>
          <w:b/>
          <w:sz w:val="28"/>
          <w:szCs w:val="28"/>
        </w:rPr>
        <w:t>части ведения воинского учета</w:t>
      </w:r>
      <w:r w:rsidRPr="00EE30ED">
        <w:rPr>
          <w:rFonts w:ascii="Times New Roman" w:hAnsi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81044E" w:rsidRPr="00EE30ED" w:rsidRDefault="0081044E" w:rsidP="00F50CA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trike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 На воинском учете состоит 1760 человек. 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bCs/>
          <w:sz w:val="28"/>
          <w:szCs w:val="28"/>
          <w:lang w:eastAsia="en-US"/>
        </w:rPr>
        <w:t>190 граждан подлежат призыву на военную службу.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В рамках мероприятий по призыву с территории поселения за 2020 год в ряды  Российской армии было призвано 13 граждан.</w:t>
      </w:r>
    </w:p>
    <w:p w:rsidR="0081044E" w:rsidRPr="00EE30ED" w:rsidRDefault="0081044E" w:rsidP="00EE30E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комиссариатом.</w:t>
      </w:r>
    </w:p>
    <w:p w:rsidR="0081044E" w:rsidRPr="00EE30ED" w:rsidRDefault="0081044E" w:rsidP="00EE6F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На территории поселения функционирует муниципальные автономные </w:t>
      </w:r>
      <w:r w:rsidRPr="00EE30ED">
        <w:rPr>
          <w:rFonts w:ascii="Times New Roman" w:hAnsi="Times New Roman"/>
          <w:b/>
          <w:sz w:val="28"/>
          <w:szCs w:val="28"/>
          <w:lang w:eastAsia="en-US"/>
        </w:rPr>
        <w:t>общеобразовательные учреждения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средняя общеобразовательная школа в д.Новоселицы с филиалом в д.Божонка и основная общеобразовательная школа в д.Савино, где обучается 437 учеников. Учащиеся школы принимают активное участие в поселенческих, районных, областных мероприятиях, являются призёрами различных конкурсов, за что огромное спасибо коллективу учителей. </w:t>
      </w:r>
    </w:p>
    <w:p w:rsidR="0081044E" w:rsidRPr="00EE30ED" w:rsidRDefault="0081044E" w:rsidP="008A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238 детей, под четким руководством, посещают муниципальные автономные дошкольные образовательные учреждения детский сад № 9 и № 27. Педагоги детских садов стремятся развиваться и в каждом ребенке находить талант и уникальность. Проводят большую работу с родителями воспитанников.</w:t>
      </w:r>
    </w:p>
    <w:p w:rsidR="0081044E" w:rsidRPr="00EE30ED" w:rsidRDefault="0081044E" w:rsidP="008A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Администрацией Новгородского муниципального района в 2020 году произведен ремонт в Новоселицкой средней школе 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на общую сумму 655 192,95 рублей.</w:t>
      </w:r>
    </w:p>
    <w:p w:rsidR="0081044E" w:rsidRPr="00EE30ED" w:rsidRDefault="0081044E" w:rsidP="00586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Также в рамках программы «Комплексное развитие сельских территорий» капитально отремонтирована Савинская школа на сумму 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 xml:space="preserve">4 607 120 рублей, приобретена компьютерная техника на сумму </w:t>
      </w:r>
      <w:r w:rsidRPr="00EE30ED">
        <w:rPr>
          <w:rFonts w:ascii="Times New Roman" w:hAnsi="Times New Roman"/>
          <w:sz w:val="28"/>
          <w:szCs w:val="28"/>
        </w:rPr>
        <w:t>2 070 993 рублей,  произведены кадастровые работы по стадиону на сумму 49 600 рублей.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Во всех образовательных учреждениях, расположенных на территории поселения трудятся педагоги, имеющие почетные звания, награды и  грамоты различного уровня, профессионализм которых подтверждается результатами их деятельности.  </w:t>
      </w:r>
    </w:p>
    <w:p w:rsidR="0081044E" w:rsidRPr="00EE30ED" w:rsidRDefault="0081044E" w:rsidP="00EE6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2020 году на территории п.Волховец Администрацией района  в рамках национального  проекта «Демография» начато строительство детского сада на 140 мест. Работы  будут завершены осенью  текущего года.</w:t>
      </w:r>
    </w:p>
    <w:p w:rsidR="0081044E" w:rsidRPr="00EE30ED" w:rsidRDefault="0081044E" w:rsidP="00EE6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Для нас это очень важно, данная территория активно застраивается, в основном к нам переезжают на постоянное место жительство граждане молодого возраста. </w:t>
      </w:r>
    </w:p>
    <w:p w:rsidR="0081044E" w:rsidRPr="00EE30ED" w:rsidRDefault="0081044E" w:rsidP="00EE6F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Свой кругозор жители поселения могут расширить и пополнить в библиотеках, которые расположены на территории нашего поселения в д.Савино, д.Новоселицы, д.Божонка. Сотрудниками библиотеки проводятся различные конкурсы, викторины для воспитанников детского сада, школ, и взрослого населения. 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Активную работу в поселении проводит Совет Ветеранов во главе с председателями. Они помогают решить вопросы досуга, отдыха и общения жителям старшего возраста, а самое главное, дают возможность почувствовать им свою нужность и значимость.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Важнейшим фактором повышения качества жизни является </w:t>
      </w:r>
      <w:r w:rsidRPr="00EE30ED">
        <w:rPr>
          <w:rFonts w:ascii="Times New Roman" w:hAnsi="Times New Roman"/>
          <w:b/>
          <w:sz w:val="28"/>
          <w:szCs w:val="28"/>
        </w:rPr>
        <w:t>обеспечение здоровья  населения</w:t>
      </w:r>
      <w:r w:rsidRPr="00EE30ED">
        <w:rPr>
          <w:rFonts w:ascii="Times New Roman" w:hAnsi="Times New Roman"/>
          <w:sz w:val="28"/>
          <w:szCs w:val="28"/>
        </w:rPr>
        <w:t xml:space="preserve">. 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Медицинские услуги населению оказывают  амбулатории (д. Новоселицы, д. Савино) и ФАПы (п.Волховец, д. Мытно, д.Шолохово, д.Слутка,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E30ED">
        <w:rPr>
          <w:rFonts w:ascii="Times New Roman" w:hAnsi="Times New Roman"/>
          <w:sz w:val="28"/>
          <w:szCs w:val="28"/>
          <w:lang w:eastAsia="en-US"/>
        </w:rPr>
        <w:t>.Ситно, д.Божонка).</w:t>
      </w:r>
      <w:r w:rsidRPr="00EE30ED">
        <w:rPr>
          <w:rFonts w:ascii="Times New Roman" w:hAnsi="Times New Roman"/>
          <w:sz w:val="28"/>
          <w:szCs w:val="28"/>
        </w:rPr>
        <w:t xml:space="preserve"> На территории сельского поселения в 2020 году установлен 1 фельдшерско-акушерский пункт в д.Дубровка.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Население обслуживают 35 магазинов, действует 2 парикмахерские,  1 аптечный пункт. Хорошей новостью стало открытие магазина «Верный» в д.Новоселицы.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Услуги по банковским операциям оказывает филиал Сбербанка, где можно сделать все платежи и денежные операции. Для предоставления государственных и муниципальных услуг населению функционирует офис «Мои документы».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Одной из важнейших задач развития социальной сферы является </w:t>
      </w:r>
      <w:r w:rsidRPr="00EE30ED">
        <w:rPr>
          <w:rFonts w:ascii="Times New Roman" w:hAnsi="Times New Roman"/>
          <w:b/>
          <w:sz w:val="28"/>
          <w:szCs w:val="28"/>
        </w:rPr>
        <w:t>сохранение и развитие учреждений </w:t>
      </w:r>
      <w:r w:rsidRPr="00EE30ED">
        <w:rPr>
          <w:rFonts w:ascii="Times New Roman" w:hAnsi="Times New Roman"/>
          <w:b/>
          <w:bCs/>
          <w:sz w:val="28"/>
          <w:szCs w:val="28"/>
        </w:rPr>
        <w:t>культуры</w:t>
      </w:r>
      <w:r w:rsidRPr="00EE30ED">
        <w:rPr>
          <w:rFonts w:ascii="Times New Roman" w:hAnsi="Times New Roman"/>
          <w:b/>
          <w:sz w:val="28"/>
          <w:szCs w:val="28"/>
        </w:rPr>
        <w:t>.</w:t>
      </w:r>
    </w:p>
    <w:p w:rsidR="0081044E" w:rsidRPr="00EE30ED" w:rsidRDefault="0081044E" w:rsidP="008849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Впервые  наше  поселение  стало  участником   реализации </w:t>
      </w:r>
      <w:r w:rsidRPr="00EE30ED">
        <w:rPr>
          <w:rFonts w:ascii="Times New Roman" w:hAnsi="Times New Roman"/>
          <w:bCs/>
          <w:sz w:val="28"/>
          <w:szCs w:val="28"/>
          <w:lang w:eastAsia="en-US"/>
        </w:rPr>
        <w:t>проекта комплексного развития  сельских территорий Новгородской области</w:t>
      </w:r>
      <w:r w:rsidRPr="00EE30ED">
        <w:rPr>
          <w:rFonts w:ascii="Times New Roman" w:hAnsi="Times New Roman"/>
          <w:sz w:val="28"/>
          <w:szCs w:val="28"/>
        </w:rPr>
        <w:t xml:space="preserve">. </w:t>
      </w:r>
    </w:p>
    <w:p w:rsidR="0081044E" w:rsidRPr="00EE30ED" w:rsidRDefault="0081044E" w:rsidP="00EE3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В 2020 году проведен капитальный ремонт здания  МАУ «Савинский Дом Культуры» на сумму 8 миллионов 542 тыс. рублей.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81044E" w:rsidRPr="00EE30ED" w:rsidRDefault="0081044E" w:rsidP="00E87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В 2020 году в 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работу Домов культуры внесла свои коррективы пандемия коронавируса. Но наши работники культуры не сидели без дела, искали новые формы работы, проводили мероприятия, в том числе дистанционно. Клубные формирования участвовали в очных и онлайн конкурсах и фестивалях районного, областного и межрайонного значения.  В связи с эпидемиологической обстановкой приоритетной была работа в формате «Онлайн». К 75-летию Великой победы, Новоселицким Домом культуры был проведен онлан - проект «Песенная летопись войны», в котором приняли участие 75 человек разных профессий и возрастов, проект длился ровно 75 дней до дня Победы. В нем прозвучало 75 произведений написанных во время ВОВ. Он занял первое место на лучший онлайн- проект Новгородской области, а его организатор стал лучшим по профессии среди руководителей учреждений культуры на селе. </w:t>
      </w:r>
    </w:p>
    <w:p w:rsidR="0081044E" w:rsidRPr="00EE30ED" w:rsidRDefault="0081044E" w:rsidP="00E875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ДК участвовали во Всероссийских акциях «Звезда в окне», «Окна Победы», «Георгиевская лента», «Флаг в День Победы», «Письмо Победы» и привлекали к ним население. </w:t>
      </w:r>
    </w:p>
    <w:p w:rsidR="0081044E" w:rsidRPr="00EE30ED" w:rsidRDefault="0081044E" w:rsidP="008849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Всем желающим была предоставлена возможность поучаствовать в онлайн-шествии «Бессмертный полк». Жители присылали фотографии своих предков в цифровом формате из которых был создан видео-ролик и размещен в группах «Вконтакте» Савинского и Божонского Домов культуры.</w:t>
      </w:r>
    </w:p>
    <w:p w:rsidR="0081044E" w:rsidRPr="00EE30ED" w:rsidRDefault="0081044E" w:rsidP="008849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В период пандемии МАУ «Савинский СДК»  проводил акцию-концерт «Спасибо врачам», которая проходила на территории детской областной больницы в Великом Новгороде. 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Хочу отметить, что мероприятия такого уровня  сближают всех жителей поселения и конечно создают хорошее настроение.</w:t>
      </w:r>
    </w:p>
    <w:p w:rsidR="0081044E" w:rsidRPr="00EE30ED" w:rsidRDefault="0081044E" w:rsidP="00EE30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b/>
          <w:sz w:val="28"/>
          <w:szCs w:val="28"/>
        </w:rPr>
        <w:t xml:space="preserve">Сельскохозяйственное производство представлено </w:t>
      </w:r>
    </w:p>
    <w:p w:rsidR="0081044E" w:rsidRPr="00EE30ED" w:rsidRDefault="0081044E" w:rsidP="007D1029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поголовье крупного рогатого скота составило 152 головы (86,86 % к уровню 2019 года), из них коров -120 голов (95,24 % к уровню 2019),</w:t>
      </w:r>
    </w:p>
    <w:p w:rsidR="0081044E" w:rsidRPr="00EE30ED" w:rsidRDefault="0081044E" w:rsidP="007D1029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поголовье свиней составило 110 голов (80,29% к уровню 2019), </w:t>
      </w:r>
    </w:p>
    <w:p w:rsidR="0081044E" w:rsidRPr="00EE30ED" w:rsidRDefault="0081044E" w:rsidP="007D1029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поголовье овец и коз составило 90 голов (84,91% к уровню 2019 года),</w:t>
      </w:r>
    </w:p>
    <w:p w:rsidR="0081044E" w:rsidRPr="00EE30ED" w:rsidRDefault="0081044E" w:rsidP="007D1029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поголовье птицы составило 5120 голов (95,52 % к уровню прошлого года),</w:t>
      </w:r>
    </w:p>
    <w:p w:rsidR="0081044E" w:rsidRPr="00EE30ED" w:rsidRDefault="0081044E" w:rsidP="007D1029">
      <w:pPr>
        <w:spacing w:after="0" w:line="2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поголовье лошадей -28 голов.</w:t>
      </w:r>
    </w:p>
    <w:p w:rsidR="0081044E" w:rsidRPr="00EE30ED" w:rsidRDefault="0081044E" w:rsidP="00266C1A">
      <w:pPr>
        <w:spacing w:after="0" w:line="240" w:lineRule="auto"/>
        <w:jc w:val="both"/>
        <w:rPr>
          <w:rFonts w:ascii="Times New Roman" w:hAnsi="Times New Roman"/>
          <w:strike/>
          <w:spacing w:val="-10"/>
          <w:sz w:val="28"/>
          <w:szCs w:val="28"/>
          <w:lang w:eastAsia="en-US"/>
        </w:rPr>
      </w:pPr>
    </w:p>
    <w:p w:rsidR="0081044E" w:rsidRPr="00EE30ED" w:rsidRDefault="0081044E" w:rsidP="00EE30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E30ED">
        <w:rPr>
          <w:rFonts w:ascii="Times New Roman" w:hAnsi="Times New Roman"/>
          <w:b/>
          <w:bCs/>
          <w:sz w:val="28"/>
          <w:szCs w:val="28"/>
          <w:lang w:eastAsia="en-US"/>
        </w:rPr>
        <w:t>Основные задачи на 2021 год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</w:rPr>
        <w:t xml:space="preserve">     Мы подвели итоги прошедшего года и ставим задачи на будущее.</w:t>
      </w:r>
      <w:r w:rsidRPr="00EE30ED">
        <w:rPr>
          <w:rFonts w:ascii="Times New Roman" w:hAnsi="Times New Roman"/>
          <w:sz w:val="28"/>
          <w:szCs w:val="28"/>
          <w:lang w:eastAsia="en-US"/>
        </w:rPr>
        <w:t xml:space="preserve"> Будем продолжать принимать активное участие в реализации федеральных и региональных целевых программах и проектах.</w:t>
      </w:r>
    </w:p>
    <w:p w:rsidR="0081044E" w:rsidRPr="00EE30ED" w:rsidRDefault="0081044E" w:rsidP="00266C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 xml:space="preserve">    Вместе с тем наметим ряд вопросов, требующих решения в целях дальнейшего улучшения социально-экономической ситуации в поселении:  </w:t>
      </w:r>
    </w:p>
    <w:p w:rsidR="0081044E" w:rsidRPr="00EE30ED" w:rsidRDefault="0081044E" w:rsidP="00850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Важнейшим событием 2021 года будет строительство современного Дома культуры в д. Новоселицы в рамках национального проекта «Культура» на общую сумму 39 миллионов  453 тыс. 420 рублей.</w:t>
      </w:r>
    </w:p>
    <w:p w:rsidR="0081044E" w:rsidRPr="00EE30ED" w:rsidRDefault="0081044E" w:rsidP="00850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рамках государственной программы Комплексное развитие сельских территорий Новгородской области будут капитально отремонтированы МАУ «Божонский СДК», МАДОУ № 9 «Детский сад комбинированного вида» д. Новоселицы, филиал МАДОУ № 9 «Детский сад комбинированного вида» д. Новоселицы в д. Божонка, Филиал МАОУ «Новоселицкая СОШ» в д. Божонка.</w:t>
      </w:r>
    </w:p>
    <w:p w:rsidR="0081044E" w:rsidRPr="00EE30ED" w:rsidRDefault="0081044E" w:rsidP="00850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рамках Проекта поддержки местных инициатив в 2021 году планируется продолжить реализовывать проект «Создание и благоустройство территории сквера «Победы» в д. Савино.  Общая стоимость проекта составит 1399,068 тыс.рублей.</w:t>
      </w:r>
    </w:p>
    <w:p w:rsidR="0081044E" w:rsidRPr="00EE30ED" w:rsidRDefault="0081044E" w:rsidP="008506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рамках  участия в государственной программе Новгородской области «Комплексное развитие сельских территорий Новгородской области до 2025 года» в д. Шолохово планируется установка современной детской площадки.</w:t>
      </w:r>
    </w:p>
    <w:p w:rsidR="0081044E" w:rsidRPr="00EE30ED" w:rsidRDefault="0081044E" w:rsidP="00850652">
      <w:pPr>
        <w:pStyle w:val="ListParagraph"/>
        <w:numPr>
          <w:ilvl w:val="0"/>
          <w:numId w:val="2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Планируем установить закупленное в 2020 году оборудование для детской площадки в д.Хутынь.</w:t>
      </w:r>
    </w:p>
    <w:p w:rsidR="0081044E" w:rsidRPr="00EE30ED" w:rsidRDefault="0081044E" w:rsidP="00EE30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Продолжим участие в государственной программе «Государственная поддержка развития местного самоуправления» (проекты ТОС и ППМИ).</w:t>
      </w:r>
      <w:r w:rsidRPr="00EE30ED">
        <w:rPr>
          <w:rFonts w:ascii="Times New Roman" w:hAnsi="Times New Roman"/>
          <w:sz w:val="28"/>
          <w:szCs w:val="28"/>
        </w:rPr>
        <w:t xml:space="preserve"> </w:t>
      </w:r>
      <w:r w:rsidRPr="00EE30ED">
        <w:rPr>
          <w:rFonts w:ascii="Times New Roman" w:hAnsi="Times New Roman"/>
          <w:sz w:val="28"/>
          <w:szCs w:val="28"/>
          <w:lang w:eastAsia="en-US"/>
        </w:rPr>
        <w:t>В рамках Проекта территориального общественного самоуправления планируется  участие ТОС «дом №100», ул.Армейская, д.Новоселицы Новгородского района, большинством голосов было принято решение о приобретении и установке по фасаду дома металлического забора.</w:t>
      </w:r>
    </w:p>
    <w:p w:rsidR="0081044E" w:rsidRPr="00EE30ED" w:rsidRDefault="0081044E" w:rsidP="00EE30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В рамках ремонта будут отремонтированы следующие дороги: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 Хутынь, ул. Малая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д.Рушиново ул.Вишерская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д.Бараниха, ул.Благодатная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 Хутынь, ул. Троицкая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 Хутынь, ул. Павлова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 Хутынь, ул.Благодатная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д.Хутынь, ул.Луговая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д.Хутынь, ул.Солнечная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д.Зарелье, ул.Лебединая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д.Зарелье, ул.Тенистая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д.Зарелье, ул.Ильинская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д.Ушерско, сооружение 24Д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д.Божонка, ул.Прибрежная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д.Божонка, ул.Дружбы (подъезд)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д.Божонка, ул.Мстинская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д.Кирилловское Сельцо, ул.Есенина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д.Кирилловское Сельцо, ул.Светлая, ул.Лесная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д.Кирилловское Сельцо, ул.Счастливая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д.Кирилловское Сельцо, ул.Привольная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д.Кирилловское Сельцо, ул.Родники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д.Новоселицы, ул.Славянская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д.Новоселицы, ул.Полевая</w:t>
      </w:r>
    </w:p>
    <w:p w:rsidR="0081044E" w:rsidRPr="00EE30ED" w:rsidRDefault="0081044E" w:rsidP="004526E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д.Новоселицы, ул.Армейская</w:t>
      </w:r>
    </w:p>
    <w:p w:rsidR="0081044E" w:rsidRPr="00856744" w:rsidRDefault="0081044E" w:rsidP="0085674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56744">
        <w:rPr>
          <w:rFonts w:ascii="Times New Roman" w:hAnsi="Times New Roman"/>
          <w:sz w:val="28"/>
          <w:szCs w:val="28"/>
          <w:lang w:eastAsia="en-US"/>
        </w:rPr>
        <w:t>д.Сперанская Мыза, ул.Строителей</w:t>
      </w:r>
    </w:p>
    <w:p w:rsidR="0081044E" w:rsidRPr="00EE30ED" w:rsidRDefault="0081044E" w:rsidP="00865C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По соглашению с Министерством транспорта НО в 2021 году бюджету Савинского сельского поселения на ремонт дорог предоставлена субсидия в размере 18 миллионов 280 тысяч рублей. К ремонту планируется 27 дорог местного значения, в том числе по проекту «Дорога к дому»</w:t>
      </w:r>
      <w:r w:rsidRPr="00EE30ED">
        <w:rPr>
          <w:rFonts w:ascii="Times New Roman" w:hAnsi="Times New Roman"/>
          <w:sz w:val="28"/>
          <w:szCs w:val="28"/>
        </w:rPr>
        <w:t xml:space="preserve"> </w:t>
      </w:r>
      <w:r w:rsidRPr="00EE30ED">
        <w:rPr>
          <w:rFonts w:ascii="Times New Roman" w:hAnsi="Times New Roman"/>
          <w:sz w:val="28"/>
          <w:szCs w:val="28"/>
          <w:lang w:eastAsia="en-US"/>
        </w:rPr>
        <w:t>будут отремонтированы: в д.Новое Кунино, ул.Лесная; в д.Новая Деревня пер.Новодевичий, ул.Кленовая; в д.Божонка ул.Энтузиастов.</w:t>
      </w:r>
    </w:p>
    <w:p w:rsidR="0081044E" w:rsidRPr="00EE30ED" w:rsidRDefault="0081044E" w:rsidP="00865C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Площадкой для сбора мусора планируем обустроить гражданское кладбище в д.Мытно.</w:t>
      </w:r>
    </w:p>
    <w:p w:rsidR="0081044E" w:rsidRPr="00EE30ED" w:rsidRDefault="0081044E" w:rsidP="00EE30ED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30ED">
        <w:rPr>
          <w:rFonts w:ascii="Times New Roman" w:hAnsi="Times New Roman"/>
          <w:sz w:val="28"/>
          <w:szCs w:val="28"/>
          <w:lang w:eastAsia="en-US"/>
        </w:rPr>
        <w:t>Продолжится оформление земельных участков под пожарные водоемы, планируем  сделать кадастровые работы на 2 водоема в массиве д.Шолохово, и в д.Волынь.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>Деятельность местной власти – это практически всё, чем окружён человек. Мы рядом с людьми, мы самые доступные и близкие и, конечно сотрудничаем и решаем многие вопросы все вместе. Уверен, что наше дальнейшее сотрудничество будет таким же плодотворным.</w:t>
      </w:r>
    </w:p>
    <w:p w:rsidR="0081044E" w:rsidRPr="00EE30ED" w:rsidRDefault="0081044E" w:rsidP="00276CF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Также хотелось обратить Ваше внимание, что в сентябре 2021 года состоятся выборы депутатов Государственной Думы и депутатов Новгородской областной Думы, поэтому 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t>приглашаю всех избирателей Савинского сельского поселения принять активное участие в голосовании. Воспользуйтесь своим конституционным правом, придите на избирательные участки, примите участие в голосовании и сделайте свой выбор. Мы не должны надеяться на то, что кто-то вместо нас примет решение, каждый должен сделать это лично.</w:t>
      </w:r>
      <w:r w:rsidRPr="00EE30ED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Не менее актуальной является тема вакцинации населения. </w:t>
      </w:r>
      <w:r w:rsidRPr="00EE30ED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 xml:space="preserve">Записаться на вакцинацию от COVID-19 возможно через Единый портал государственных и муниципальных услуг, для этого достаточно иметь упрощенную учетную запись на портале. Кроме того, эта функция доступна и в мобильном приложении </w:t>
      </w: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«</w:t>
      </w:r>
      <w:r w:rsidRPr="00EE30ED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Госуслуги</w:t>
      </w: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»</w:t>
      </w:r>
      <w:r w:rsidRPr="00EE30ED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 xml:space="preserve">. Напоминаю, что на сегодняшний день сформированы выездные бригады, вакцинироваться можно не выезжая за пределы населенного пункта, от Вас необходимо только желание.  Естественно, </w:t>
      </w:r>
      <w:r w:rsidRPr="00EE30E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вакцинация</w:t>
      </w:r>
      <w:r w:rsidRPr="00EE30E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EE30ED">
        <w:rPr>
          <w:rFonts w:ascii="Times New Roman" w:hAnsi="Times New Roman"/>
          <w:sz w:val="28"/>
          <w:szCs w:val="28"/>
        </w:rPr>
        <w:t>— дело добровольное, каждый человек вправе решать самостоятельно, хочет он ее проводить, или нет. </w:t>
      </w:r>
    </w:p>
    <w:p w:rsidR="0081044E" w:rsidRPr="00EE30ED" w:rsidRDefault="0081044E" w:rsidP="007A6EB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30ED">
        <w:rPr>
          <w:rFonts w:ascii="Times New Roman" w:hAnsi="Times New Roman"/>
          <w:sz w:val="28"/>
          <w:szCs w:val="28"/>
        </w:rPr>
        <w:t xml:space="preserve">Спасибо всем Вам, за то, что принимаете активное участие в жизни поселения, за то, что понимаете нас, помогаете в работе, даёте советы, указываете на ошибки. </w:t>
      </w:r>
    </w:p>
    <w:p w:rsidR="0081044E" w:rsidRPr="00EE30ED" w:rsidRDefault="0081044E" w:rsidP="007A6EB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E30ED">
        <w:rPr>
          <w:rFonts w:ascii="Times New Roman" w:hAnsi="Times New Roman"/>
          <w:b/>
          <w:sz w:val="28"/>
          <w:szCs w:val="28"/>
        </w:rPr>
        <w:t>На этом доклад окончен! Спасибо за внимание!</w:t>
      </w: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044E" w:rsidRPr="00EE30ED" w:rsidRDefault="0081044E" w:rsidP="00276C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1044E" w:rsidRPr="00EE30ED" w:rsidRDefault="0081044E" w:rsidP="00276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44E" w:rsidRPr="00EE30ED" w:rsidSect="004D29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60"/>
    <w:multiLevelType w:val="hybridMultilevel"/>
    <w:tmpl w:val="82C0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C7FF5"/>
    <w:multiLevelType w:val="hybridMultilevel"/>
    <w:tmpl w:val="6724271C"/>
    <w:lvl w:ilvl="0" w:tplc="E34EB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9AB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63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A2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2AF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A6B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A9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60A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C49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EB3FEF"/>
    <w:multiLevelType w:val="hybridMultilevel"/>
    <w:tmpl w:val="CB922084"/>
    <w:lvl w:ilvl="0" w:tplc="20C459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C8"/>
    <w:rsid w:val="0003527F"/>
    <w:rsid w:val="000C6ED6"/>
    <w:rsid w:val="000D6827"/>
    <w:rsid w:val="000F6612"/>
    <w:rsid w:val="00126D74"/>
    <w:rsid w:val="0013739B"/>
    <w:rsid w:val="0014325A"/>
    <w:rsid w:val="001820B8"/>
    <w:rsid w:val="00196ABC"/>
    <w:rsid w:val="002341C5"/>
    <w:rsid w:val="00253AC1"/>
    <w:rsid w:val="00254519"/>
    <w:rsid w:val="00266C1A"/>
    <w:rsid w:val="0027542C"/>
    <w:rsid w:val="00276CF4"/>
    <w:rsid w:val="002D656F"/>
    <w:rsid w:val="00301194"/>
    <w:rsid w:val="003329DA"/>
    <w:rsid w:val="003905BE"/>
    <w:rsid w:val="003F643B"/>
    <w:rsid w:val="00423023"/>
    <w:rsid w:val="00427E84"/>
    <w:rsid w:val="004526E6"/>
    <w:rsid w:val="004709CA"/>
    <w:rsid w:val="004957DA"/>
    <w:rsid w:val="004A48C1"/>
    <w:rsid w:val="004C3462"/>
    <w:rsid w:val="004D29EA"/>
    <w:rsid w:val="00514038"/>
    <w:rsid w:val="00545149"/>
    <w:rsid w:val="005628D6"/>
    <w:rsid w:val="005866F1"/>
    <w:rsid w:val="005B6F29"/>
    <w:rsid w:val="005F4C54"/>
    <w:rsid w:val="006401AD"/>
    <w:rsid w:val="00675D86"/>
    <w:rsid w:val="006B1061"/>
    <w:rsid w:val="006C2D36"/>
    <w:rsid w:val="006F1548"/>
    <w:rsid w:val="00746C70"/>
    <w:rsid w:val="00774E91"/>
    <w:rsid w:val="007A6EBB"/>
    <w:rsid w:val="007B005A"/>
    <w:rsid w:val="007C1095"/>
    <w:rsid w:val="007C61C8"/>
    <w:rsid w:val="007D1029"/>
    <w:rsid w:val="007F0FAD"/>
    <w:rsid w:val="00800007"/>
    <w:rsid w:val="008042D0"/>
    <w:rsid w:val="0081044E"/>
    <w:rsid w:val="00832F78"/>
    <w:rsid w:val="008432DC"/>
    <w:rsid w:val="008464DB"/>
    <w:rsid w:val="00850652"/>
    <w:rsid w:val="00856744"/>
    <w:rsid w:val="00857082"/>
    <w:rsid w:val="00865C1B"/>
    <w:rsid w:val="00865DB2"/>
    <w:rsid w:val="008849C5"/>
    <w:rsid w:val="008A269E"/>
    <w:rsid w:val="0095298F"/>
    <w:rsid w:val="00985CDA"/>
    <w:rsid w:val="00994ED0"/>
    <w:rsid w:val="009C003C"/>
    <w:rsid w:val="009D0D42"/>
    <w:rsid w:val="009E428D"/>
    <w:rsid w:val="009F0A1A"/>
    <w:rsid w:val="00A729E4"/>
    <w:rsid w:val="00A90FB1"/>
    <w:rsid w:val="00AA12D7"/>
    <w:rsid w:val="00AC0BB0"/>
    <w:rsid w:val="00AE3629"/>
    <w:rsid w:val="00AE6D20"/>
    <w:rsid w:val="00B209CC"/>
    <w:rsid w:val="00B3263F"/>
    <w:rsid w:val="00B37406"/>
    <w:rsid w:val="00B45620"/>
    <w:rsid w:val="00B73A62"/>
    <w:rsid w:val="00B94A68"/>
    <w:rsid w:val="00BD3109"/>
    <w:rsid w:val="00BF0E05"/>
    <w:rsid w:val="00BF7914"/>
    <w:rsid w:val="00C64EC8"/>
    <w:rsid w:val="00CC0579"/>
    <w:rsid w:val="00CD666C"/>
    <w:rsid w:val="00CF42DE"/>
    <w:rsid w:val="00D019D9"/>
    <w:rsid w:val="00D640D2"/>
    <w:rsid w:val="00D81011"/>
    <w:rsid w:val="00DA246B"/>
    <w:rsid w:val="00DA2ACB"/>
    <w:rsid w:val="00DA783A"/>
    <w:rsid w:val="00DE418A"/>
    <w:rsid w:val="00DE4D12"/>
    <w:rsid w:val="00E04325"/>
    <w:rsid w:val="00E205FA"/>
    <w:rsid w:val="00E55EF2"/>
    <w:rsid w:val="00E87597"/>
    <w:rsid w:val="00E90234"/>
    <w:rsid w:val="00E923E6"/>
    <w:rsid w:val="00EA44CF"/>
    <w:rsid w:val="00ED43E6"/>
    <w:rsid w:val="00EE30ED"/>
    <w:rsid w:val="00EE67C9"/>
    <w:rsid w:val="00EE6F61"/>
    <w:rsid w:val="00F50A44"/>
    <w:rsid w:val="00F50CAE"/>
    <w:rsid w:val="00F7090E"/>
    <w:rsid w:val="00FA05AE"/>
    <w:rsid w:val="00FB06B2"/>
    <w:rsid w:val="00FC206D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3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0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9EA"/>
    <w:rPr>
      <w:rFonts w:ascii="Tahoma" w:hAnsi="Tahoma"/>
      <w:sz w:val="16"/>
    </w:rPr>
  </w:style>
  <w:style w:type="paragraph" w:styleId="NoSpacing">
    <w:name w:val="No Spacing"/>
    <w:uiPriority w:val="99"/>
    <w:qFormat/>
    <w:rsid w:val="008464DB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8464DB"/>
    <w:rPr>
      <w:rFonts w:cs="Times New Roman"/>
      <w:i/>
    </w:rPr>
  </w:style>
  <w:style w:type="character" w:customStyle="1" w:styleId="normaltextrun">
    <w:name w:val="normaltextrun"/>
    <w:uiPriority w:val="99"/>
    <w:rsid w:val="00B3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</TotalTime>
  <Pages>12</Pages>
  <Words>4341</Words>
  <Characters>24746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2021-03-22T11:49:00Z</cp:lastPrinted>
  <dcterms:created xsi:type="dcterms:W3CDTF">2021-03-18T12:07:00Z</dcterms:created>
  <dcterms:modified xsi:type="dcterms:W3CDTF">2021-03-23T10:32:00Z</dcterms:modified>
</cp:coreProperties>
</file>